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C4106" w14:textId="29C825A5" w:rsidR="00980ECB" w:rsidRPr="00970053" w:rsidRDefault="00980ECB" w:rsidP="00980ECB">
      <w:pPr>
        <w:pStyle w:val="Nagwek1"/>
        <w:spacing w:before="0"/>
        <w:jc w:val="right"/>
        <w:rPr>
          <w:rFonts w:ascii="Times New Roman" w:hAnsi="Times New Roman" w:cs="Times New Roman"/>
          <w:b w:val="0"/>
          <w:bCs w:val="0"/>
          <w:sz w:val="24"/>
          <w:szCs w:val="24"/>
        </w:rPr>
      </w:pPr>
      <w:bookmarkStart w:id="0" w:name="_Hlk66259211"/>
      <w:r>
        <w:rPr>
          <w:rFonts w:ascii="Times New Roman" w:hAnsi="Times New Roman"/>
          <w:b w:val="0"/>
          <w:sz w:val="24"/>
        </w:rPr>
        <w:t>Додаток № 8</w:t>
      </w:r>
    </w:p>
    <w:p w14:paraId="4487450B" w14:textId="77777777" w:rsidR="00980ECB" w:rsidRDefault="00980ECB" w:rsidP="00802C0A">
      <w:pPr>
        <w:pStyle w:val="ARTartustawynprozporzdzenia"/>
        <w:ind w:firstLine="0"/>
        <w:jc w:val="right"/>
        <w:rPr>
          <w:rStyle w:val="Ppogrubienie"/>
        </w:rPr>
      </w:pPr>
      <w:r>
        <w:rPr>
          <w:rFonts w:ascii="Times New Roman" w:hAnsi="Times New Roman"/>
        </w:rPr>
        <w:t xml:space="preserve">до Процедури </w:t>
      </w:r>
      <w:r>
        <w:t xml:space="preserve">дотримання вимог з ТБ для підрядників і відвідувачів  </w:t>
      </w:r>
    </w:p>
    <w:p w14:paraId="4FD00D20" w14:textId="77777777" w:rsidR="00010B8B" w:rsidRPr="00010B8B" w:rsidRDefault="00010B8B" w:rsidP="00010B8B">
      <w:pPr>
        <w:pStyle w:val="PKTpunkt"/>
        <w:ind w:left="0" w:right="-852" w:firstLine="0"/>
        <w:rPr>
          <w:rFonts w:cs="Times"/>
          <w:szCs w:val="24"/>
        </w:rPr>
      </w:pPr>
    </w:p>
    <w:p w14:paraId="07F53BDF" w14:textId="0131F510" w:rsidR="00010B8B" w:rsidRPr="00010B8B" w:rsidRDefault="00010B8B" w:rsidP="00010B8B">
      <w:pPr>
        <w:pStyle w:val="USTustnpkodeksu"/>
      </w:pPr>
      <w:r>
        <w:t>1.</w:t>
      </w:r>
      <w:r>
        <w:tab/>
        <w:t>Персонал з ТБ будівельного підрядника: постійний персонал з нагляду за ТБ WRB - кваліфікаційні вимоги:</w:t>
      </w:r>
    </w:p>
    <w:p w14:paraId="27E5B83F" w14:textId="1229AEE9" w:rsidR="009E5808" w:rsidRPr="00341FB9" w:rsidRDefault="009E5808" w:rsidP="00341FB9">
      <w:pPr>
        <w:pStyle w:val="PKTpunkt"/>
        <w:rPr>
          <w:rStyle w:val="Wyrnieniedelikatne"/>
          <w:i w:val="0"/>
          <w:iCs w:val="0"/>
          <w:color w:val="auto"/>
        </w:rPr>
      </w:pPr>
      <w:r>
        <w:rPr>
          <w:rStyle w:val="Wyrnieniedelikatne"/>
          <w:i w:val="0"/>
          <w:color w:val="auto"/>
        </w:rPr>
        <w:t xml:space="preserve">1) </w:t>
      </w:r>
      <w:r w:rsidR="00AD6DEA">
        <w:rPr>
          <w:rStyle w:val="Wyrnieniedelikatne"/>
          <w:i w:val="0"/>
          <w:color w:val="auto"/>
        </w:rPr>
        <w:tab/>
      </w:r>
      <w:r>
        <w:rPr>
          <w:rStyle w:val="Wyrnieniedelikatne"/>
          <w:i w:val="0"/>
          <w:color w:val="auto"/>
        </w:rPr>
        <w:t>відповідно до Постанови Ради Міністрів від 02.09.1997 р. про службу безпеки і гігієни праці для посади: спеціаліст з безпеки і гігієни праці, тобто: вища освіта за напрямком або спеціальністю в галузі безпеки і гігієни праці або післядипломна освіта в галузі безпеки і гігієни праці та стаж роботи в службі безпеки і гігієни праці не менше 1 - року;</w:t>
      </w:r>
    </w:p>
    <w:p w14:paraId="32D9FFE3" w14:textId="6427D026" w:rsidR="009E5808" w:rsidRPr="00341FB9" w:rsidRDefault="009E5808" w:rsidP="00341FB9">
      <w:pPr>
        <w:pStyle w:val="PKTpunkt"/>
        <w:rPr>
          <w:rStyle w:val="Wyrnieniedelikatne"/>
          <w:i w:val="0"/>
          <w:iCs w:val="0"/>
          <w:color w:val="auto"/>
        </w:rPr>
      </w:pPr>
      <w:r>
        <w:rPr>
          <w:rStyle w:val="Wyrnieniedelikatne"/>
          <w:i w:val="0"/>
          <w:color w:val="auto"/>
        </w:rPr>
        <w:t xml:space="preserve">2) </w:t>
      </w:r>
      <w:r w:rsidR="00AD6DEA">
        <w:rPr>
          <w:rStyle w:val="Wyrnieniedelikatne"/>
          <w:i w:val="0"/>
          <w:color w:val="auto"/>
        </w:rPr>
        <w:tab/>
      </w:r>
      <w:r>
        <w:rPr>
          <w:rStyle w:val="Wyrnieniedelikatne"/>
          <w:i w:val="0"/>
          <w:color w:val="auto"/>
        </w:rPr>
        <w:t>Мінімум 1 рік професійного досвіду роботи в якості спеціаліста з ТБ безпосередньо на будівельних проектах;</w:t>
      </w:r>
    </w:p>
    <w:p w14:paraId="26277BDF" w14:textId="666921C9" w:rsidR="00010B8B" w:rsidRPr="00341FB9" w:rsidRDefault="00010B8B" w:rsidP="00341FB9">
      <w:pPr>
        <w:pStyle w:val="PKTpunkt"/>
      </w:pPr>
      <w:r>
        <w:t xml:space="preserve">3) </w:t>
      </w:r>
      <w:r w:rsidR="00AD6DEA">
        <w:tab/>
      </w:r>
      <w:r>
        <w:t>Водійське посвідчення категорії B.</w:t>
      </w:r>
    </w:p>
    <w:p w14:paraId="703A6760" w14:textId="08B779E1" w:rsidR="009E5808" w:rsidRDefault="00010B8B" w:rsidP="00010B8B">
      <w:pPr>
        <w:pStyle w:val="USTustnpkodeksu"/>
      </w:pPr>
      <w:r>
        <w:t>2. Інспектор з ТБ будівельного підрядника буде відповідати за виконання наступних завдань та обов'язків:</w:t>
      </w:r>
    </w:p>
    <w:p w14:paraId="1557FAF6" w14:textId="6A421002" w:rsidR="007539EA" w:rsidRDefault="007539EA" w:rsidP="007539EA">
      <w:pPr>
        <w:pStyle w:val="PKTpunkt"/>
      </w:pPr>
      <w:r>
        <w:t xml:space="preserve">1) </w:t>
      </w:r>
      <w:r w:rsidR="00AD6DEA">
        <w:tab/>
      </w:r>
      <w:r>
        <w:t>Підрядник несе повну відповідальність за моніторинг аспектів та стан техніки безпеки та охорони праці на робочому місці під час виконання предмету договору,</w:t>
      </w:r>
    </w:p>
    <w:p w14:paraId="430827D8" w14:textId="036CFD77" w:rsidR="00C55AEE" w:rsidRPr="00010B8B" w:rsidRDefault="00C55AEE" w:rsidP="00C55AEE">
      <w:pPr>
        <w:pStyle w:val="PKTpunkt"/>
      </w:pPr>
      <w:r>
        <w:t xml:space="preserve">2) </w:t>
      </w:r>
      <w:r w:rsidR="00AD6DEA">
        <w:tab/>
      </w:r>
      <w:r>
        <w:t>Підрядник зобов'язаний захищати здоров'я та життя своїх працівників, працівників субпідрядників і відвідувачів території реалізації інвестиції шляхом забезпечення безпечних і гігієнічних умов праці, належного використання досягнень науки і техніки,</w:t>
      </w:r>
    </w:p>
    <w:p w14:paraId="71664F97" w14:textId="07445E74" w:rsidR="00C55AEE" w:rsidRPr="00010B8B" w:rsidRDefault="00C55AEE" w:rsidP="00C55AEE">
      <w:pPr>
        <w:pStyle w:val="PKTpunkt"/>
      </w:pPr>
      <w:r>
        <w:t xml:space="preserve">3) </w:t>
      </w:r>
      <w:r w:rsidR="00AD6DEA">
        <w:tab/>
      </w:r>
      <w:r>
        <w:t>співпрацювати під час організації робіт таким чином, щоб забезпечити безпечні та гігієнічні умови праці,</w:t>
      </w:r>
    </w:p>
    <w:p w14:paraId="2168BDB3" w14:textId="64E83FA9" w:rsidR="00C55AEE" w:rsidRPr="00010B8B" w:rsidRDefault="00C55AEE" w:rsidP="00C55AEE">
      <w:pPr>
        <w:pStyle w:val="PKTpunkt"/>
      </w:pPr>
      <w:r>
        <w:t xml:space="preserve">4) </w:t>
      </w:r>
      <w:r w:rsidR="00AD6DEA">
        <w:tab/>
      </w:r>
      <w:r>
        <w:t>співпрацювати у забезпеченні дотримання норм і правил охорони праці та техніки безпеки на території реалізації інвестиції, видавати розпорядження щодо усунення виявлених у цьому відношенні недоліків, а також контролювати виконання цих розпоряджень,</w:t>
      </w:r>
    </w:p>
    <w:p w14:paraId="4A424096" w14:textId="3CDF2716" w:rsidR="00C55AEE" w:rsidRPr="00010B8B" w:rsidRDefault="00C55AEE" w:rsidP="00C55AEE">
      <w:pPr>
        <w:pStyle w:val="PKTpunkt"/>
      </w:pPr>
      <w:r>
        <w:t xml:space="preserve">5) </w:t>
      </w:r>
      <w:r w:rsidR="00AD6DEA">
        <w:tab/>
      </w:r>
      <w:r>
        <w:t>реагувати на потреби у сфері техніки безпеки та охорони праці та адаптувати заходи, що вживаються для підвищення існуючого рівня захисту здоров'я та життя працівників, працівників субпідрядників та відвідувачів території реалізації інвестиції, з урахуванням зміни умов виконання робіт,</w:t>
      </w:r>
    </w:p>
    <w:p w14:paraId="6AB49C0C" w14:textId="57EB5806" w:rsidR="00C55AEE" w:rsidRPr="00010B8B" w:rsidRDefault="00C55AEE" w:rsidP="00C55AEE">
      <w:pPr>
        <w:pStyle w:val="PKTpunkt"/>
      </w:pPr>
      <w:r>
        <w:t xml:space="preserve">6) </w:t>
      </w:r>
      <w:r w:rsidR="00AD6DEA">
        <w:tab/>
      </w:r>
      <w:r>
        <w:t>співпрацювати у забезпеченні узгодженої політики щодо запобігання нещасним випадкам на виробництві та професійним захворюванням на території реалізації інвестиції, враховуючи технічні питання, організацію праці, соціальні відносини та вплив факторів виробничого середовища,</w:t>
      </w:r>
    </w:p>
    <w:p w14:paraId="2DD3653B" w14:textId="7A9CC0A2" w:rsidR="00C55AEE" w:rsidRPr="00010B8B" w:rsidRDefault="00C55AEE" w:rsidP="00C55AEE">
      <w:pPr>
        <w:pStyle w:val="PKTpunkt"/>
      </w:pPr>
      <w:r>
        <w:t xml:space="preserve">7) </w:t>
      </w:r>
      <w:r w:rsidR="00AD6DEA">
        <w:tab/>
      </w:r>
      <w:r>
        <w:t>нагляд за виконанням рекомендацій, наказів, виступів, рішень і розпоряджень, виданих компанією GAZ-SYSTEM, підрядником з інвестиційного нагляду, а також органами, що здійснюють нагляд за умовами праці,</w:t>
      </w:r>
    </w:p>
    <w:p w14:paraId="21DF5F5A" w14:textId="6A96FA9D" w:rsidR="00C55AEE" w:rsidRPr="00010B8B" w:rsidRDefault="00C55AEE" w:rsidP="00C55AEE">
      <w:pPr>
        <w:pStyle w:val="PKTpunkt"/>
      </w:pPr>
      <w:r>
        <w:lastRenderedPageBreak/>
        <w:t xml:space="preserve">8) </w:t>
      </w:r>
      <w:r w:rsidR="00AD6DEA">
        <w:tab/>
      </w:r>
      <w:r>
        <w:t>знати в обсязі, необхідному для виконання своїх обов'язків, законодавство про охорону праці, в тому числі норми і правила техніки безпеки та охорони праці,</w:t>
      </w:r>
    </w:p>
    <w:p w14:paraId="1159CE26" w14:textId="3D194B4D" w:rsidR="00C55AEE" w:rsidRPr="00010B8B" w:rsidRDefault="00C55AEE" w:rsidP="00C55AEE">
      <w:pPr>
        <w:pStyle w:val="PKTpunkt"/>
      </w:pPr>
      <w:r>
        <w:t xml:space="preserve">9) </w:t>
      </w:r>
      <w:r w:rsidR="00AD6DEA">
        <w:tab/>
      </w:r>
      <w:r>
        <w:t>інформування працівників, працівників субпідрядників та відвідувачів території реалізації інвестиції про небезпеки для здоров'я і життя, що виникають на території реалізації інвестиції, на окремих робочих місцях і в процесі виконання робіт, у тому числі про правила дій у разі виникнення аварій та інших ситуацій, що загрожують здоров'ю і життю працівників, працівників субпідрядників та відвідувачів території реалізації інвестиції,</w:t>
      </w:r>
    </w:p>
    <w:p w14:paraId="3D464219" w14:textId="0E6AA2E4" w:rsidR="00C55AEE" w:rsidRPr="00010B8B" w:rsidRDefault="00C55AEE" w:rsidP="00C55AEE">
      <w:pPr>
        <w:pStyle w:val="PKTpunkt"/>
      </w:pPr>
      <w:r>
        <w:t xml:space="preserve">10) </w:t>
      </w:r>
      <w:r w:rsidR="00AD6DEA">
        <w:tab/>
      </w:r>
      <w:r>
        <w:t>Ознайомити працівників, працівників субпідрядників з обсягом їхніх обов'язків, порядком виконання робіт на визначених посадах, у тому числі забезпечити проходження працівниками інструктажу з охорони праці та техніки безпеки перед їх допуском до роботи,</w:t>
      </w:r>
    </w:p>
    <w:p w14:paraId="4B629F0F" w14:textId="2BF7B71B" w:rsidR="00C55AEE" w:rsidRPr="00010B8B" w:rsidRDefault="00C55AEE" w:rsidP="00C55AEE">
      <w:pPr>
        <w:pStyle w:val="PKTpunkt"/>
      </w:pPr>
      <w:r>
        <w:t xml:space="preserve">11) </w:t>
      </w:r>
      <w:r w:rsidR="00AD6DEA">
        <w:tab/>
      </w:r>
      <w:r>
        <w:t>інформування працівників, працівників субпідрядників про професійні ризики, пов'язані з їхньою роботою, та про принципи захисту від небезпек,</w:t>
      </w:r>
    </w:p>
    <w:p w14:paraId="6790BA50" w14:textId="59385C13" w:rsidR="00C55AEE" w:rsidRPr="00010B8B" w:rsidRDefault="00C55AEE" w:rsidP="00C55AEE">
      <w:pPr>
        <w:pStyle w:val="PKTpunkt"/>
      </w:pPr>
      <w:r>
        <w:t xml:space="preserve">12) </w:t>
      </w:r>
      <w:r w:rsidR="00AD6DEA">
        <w:tab/>
      </w:r>
      <w:r>
        <w:t>співпрацювати у здійсненні нагляду за дійсністю/чинністю: навчання з ТБ (вступного та періодичного), профілактичних медичних оглядів, дозволів на виконання певних робіт, експлуатації обладнання, керування транспортними засобами або механізмами тощо всіх працівників, працівників субпідрядників,</w:t>
      </w:r>
    </w:p>
    <w:p w14:paraId="15D5B619" w14:textId="623139DD" w:rsidR="00C55AEE" w:rsidRPr="00010B8B" w:rsidRDefault="00C55AEE" w:rsidP="00C55AEE">
      <w:pPr>
        <w:pStyle w:val="PKTpunkt"/>
      </w:pPr>
      <w:r>
        <w:t xml:space="preserve">13) </w:t>
      </w:r>
      <w:r w:rsidR="00AD6DEA">
        <w:tab/>
      </w:r>
      <w:r>
        <w:t>співпрацювати у забезпеченні системи надання першої медичної допомоги, виконанні протипожежних заходів та евакуації працівників, працівників субпідрядників та відвідувачів території реалізації інвестиції, запевнити ресурси, необхідні для надання першої медичної допомоги, пожежогасіння та евакуації працівників у разі виникнення надзвичайної ситуації,</w:t>
      </w:r>
    </w:p>
    <w:p w14:paraId="7EE667A0" w14:textId="1585C1E2" w:rsidR="00C55AEE" w:rsidRPr="00010B8B" w:rsidRDefault="00C55AEE" w:rsidP="00C55AEE">
      <w:pPr>
        <w:pStyle w:val="PKTpunkt"/>
      </w:pPr>
      <w:r>
        <w:t xml:space="preserve">14) </w:t>
      </w:r>
      <w:r w:rsidR="00AD6DEA">
        <w:tab/>
      </w:r>
      <w:r>
        <w:t>співпрацювати в оснащенні робочих місць машинами та іншими технічними пристроями та робочими інструментами, які забезпечують безпечні та гігієнічні умови праці, зокрема захищають від травматизму, впливу небезпечних хімічних речовин, ураження електричним струмом, надмірного шуму, впливу механічних вібрацій та випромінювань, а також шкідливого і небезпечного впливу інших факторів виробничого середовища та враховують принципи ергономіки,</w:t>
      </w:r>
    </w:p>
    <w:p w14:paraId="1928F028" w14:textId="476BB279" w:rsidR="00C55AEE" w:rsidRDefault="00C55AEE" w:rsidP="00C55AEE">
      <w:pPr>
        <w:pStyle w:val="PKTpunkt"/>
      </w:pPr>
      <w:r>
        <w:t xml:space="preserve">15) </w:t>
      </w:r>
      <w:r w:rsidR="00AD6DEA">
        <w:tab/>
      </w:r>
      <w:r>
        <w:t>співпрацювати в оснащенні машин, іншого технічного обладнання та робочих інструментів відповідними засобами захисту (засоби колективного захисту),</w:t>
      </w:r>
    </w:p>
    <w:p w14:paraId="11B5543B" w14:textId="09AAAEB7" w:rsidR="00C55AEE" w:rsidRDefault="00C55AEE" w:rsidP="00C55AEE">
      <w:pPr>
        <w:pStyle w:val="PKTpunkt"/>
      </w:pPr>
      <w:r>
        <w:t xml:space="preserve">15) </w:t>
      </w:r>
      <w:r w:rsidR="00AD6DEA">
        <w:tab/>
      </w:r>
      <w:r>
        <w:t>співпрацювати під час нагляду за системою нарядів на виконання робіт (реєстр нарядів на виконання робіт),</w:t>
      </w:r>
    </w:p>
    <w:p w14:paraId="6C34DFCF" w14:textId="73FD6563" w:rsidR="00C55AEE" w:rsidRDefault="00C55AEE" w:rsidP="00B82907">
      <w:pPr>
        <w:pStyle w:val="PKTpunkt"/>
      </w:pPr>
      <w:r>
        <w:t xml:space="preserve">16) </w:t>
      </w:r>
      <w:r w:rsidR="00AD6DEA">
        <w:tab/>
      </w:r>
      <w:r>
        <w:t>звітування перед замовником відповідно до положень договору.</w:t>
      </w:r>
    </w:p>
    <w:p w14:paraId="784379C7" w14:textId="0384851A" w:rsidR="009E5808" w:rsidRDefault="00341FB9" w:rsidP="00341FB9">
      <w:pPr>
        <w:pStyle w:val="USTustnpkodeksu"/>
      </w:pPr>
      <w:r>
        <w:t>3.</w:t>
      </w:r>
      <w:r>
        <w:tab/>
        <w:t>Персонал з ТБ підрядника інвестиційного нагляду: постійний персонал, нагляд за ТБ WNI - кваліфікаційні вимоги:</w:t>
      </w:r>
    </w:p>
    <w:p w14:paraId="32AE3F85" w14:textId="5B278F09" w:rsidR="009E5808" w:rsidRPr="00010B8B" w:rsidRDefault="009E5808" w:rsidP="00341FB9">
      <w:pPr>
        <w:pStyle w:val="PKTpunkt"/>
        <w:rPr>
          <w:rFonts w:cs="Times"/>
          <w:szCs w:val="24"/>
        </w:rPr>
      </w:pPr>
      <w:r>
        <w:lastRenderedPageBreak/>
        <w:t xml:space="preserve">1) </w:t>
      </w:r>
      <w:r w:rsidR="00AD6DEA">
        <w:tab/>
      </w:r>
      <w:r>
        <w:t>відповідно до Постанови Ради Міністрів від 02.09.1997 р. про службу безпеки і гігієни праці для посади: старший спеціаліст з безпеки і гігієни праці, тобто: вища освіта за напрямком або спеціальністю в галузі безпеки і гігієни праці або післядипломна освіта в галузі безпеки і гігієни праці та стаж роботи в службі безпеки і гігієни праці не менше 3 років;</w:t>
      </w:r>
    </w:p>
    <w:p w14:paraId="576A92B3" w14:textId="17A720B7" w:rsidR="00341FB9" w:rsidRPr="00341FB9" w:rsidRDefault="009E5808" w:rsidP="00A12999">
      <w:pPr>
        <w:pStyle w:val="PKTpunkt"/>
      </w:pPr>
      <w:r>
        <w:t xml:space="preserve">2) </w:t>
      </w:r>
      <w:r w:rsidR="00AD6DEA">
        <w:tab/>
      </w:r>
      <w:r>
        <w:t>Мінімум 2 роки професійного досвіду роботи в якості спеціаліста з ТБ безпосередньо на будівельних проектах;</w:t>
      </w:r>
    </w:p>
    <w:p w14:paraId="51BBE707" w14:textId="019EDB29" w:rsidR="00341FB9" w:rsidRDefault="00A12999" w:rsidP="00341FB9">
      <w:pPr>
        <w:pStyle w:val="PKTpunkt"/>
      </w:pPr>
      <w:r>
        <w:t xml:space="preserve">3) </w:t>
      </w:r>
      <w:r w:rsidR="00AD6DEA">
        <w:tab/>
      </w:r>
      <w:r>
        <w:t>Водійське посвідчення категорії B.</w:t>
      </w:r>
    </w:p>
    <w:p w14:paraId="0BC87419" w14:textId="73F5F07B" w:rsidR="008C3704" w:rsidRDefault="008C3704" w:rsidP="008C3704">
      <w:pPr>
        <w:pStyle w:val="USTustnpkodeksu"/>
      </w:pPr>
      <w:r>
        <w:t>4.  Інспектор з ТБ нагляду підрядника інвестиційного нагляду буде відповідати за виконання наступних завдань та обов'язків:</w:t>
      </w:r>
    </w:p>
    <w:p w14:paraId="4EC9E168" w14:textId="464A5CBB" w:rsidR="00E318D6" w:rsidRDefault="00E318D6" w:rsidP="00E318D6">
      <w:pPr>
        <w:pStyle w:val="PKTpunkt"/>
      </w:pPr>
      <w:r>
        <w:t xml:space="preserve">1) </w:t>
      </w:r>
      <w:r w:rsidR="00AD6DEA">
        <w:tab/>
      </w:r>
      <w:r>
        <w:t>тісно співпрацювати із Замовником та будівельним підрядником, зокрема, щодо організації та забезпечення належного нагляду та рівня техніки безпеки та охорони праці на інвестиційному майданчику відповідно до трудового законодавства, будівельного законодавства та внутрішніх положень Замовника,</w:t>
      </w:r>
    </w:p>
    <w:p w14:paraId="31D92EF2" w14:textId="2DD44B8D" w:rsidR="00E318D6" w:rsidRPr="007539EA" w:rsidRDefault="00E318D6" w:rsidP="00E318D6">
      <w:pPr>
        <w:pStyle w:val="PKTpunkt"/>
      </w:pPr>
      <w:r>
        <w:t xml:space="preserve">2) </w:t>
      </w:r>
      <w:r w:rsidR="00AD6DEA">
        <w:tab/>
      </w:r>
      <w:r>
        <w:t>консультування підрядника щодо застосування норм і правил охорони праці та техніки безпеки,</w:t>
      </w:r>
    </w:p>
    <w:p w14:paraId="73EABD6C" w14:textId="44632874" w:rsidR="00E318D6" w:rsidRPr="007539EA" w:rsidRDefault="00E318D6" w:rsidP="00E318D6">
      <w:pPr>
        <w:pStyle w:val="PKTpunkt"/>
      </w:pPr>
      <w:r>
        <w:t xml:space="preserve">3) </w:t>
      </w:r>
      <w:r w:rsidR="00AD6DEA">
        <w:tab/>
      </w:r>
      <w:r>
        <w:t>консультування підрядника щодо організації та методів роботи на робочих місцях з небезпечними, шкідливими для здоров'я або важкими умовами праці, а також щодо підбору найбільш доцільних засобів колективного та індивідуального захисту,</w:t>
      </w:r>
    </w:p>
    <w:p w14:paraId="0F71CB54" w14:textId="2B13C7E1" w:rsidR="00E318D6" w:rsidRPr="00010B8B" w:rsidRDefault="00E318D6" w:rsidP="00E318D6">
      <w:pPr>
        <w:pStyle w:val="PKTpunkt"/>
      </w:pPr>
      <w:r>
        <w:t xml:space="preserve">4) </w:t>
      </w:r>
      <w:r w:rsidR="00AD6DEA">
        <w:tab/>
      </w:r>
      <w:r>
        <w:t>здійснювати щоденні перевірки умов праці та дотримання норм і правил охорони праці та техніки безпеки підрядником та субпідрядниками на території реалізації інвестиції,</w:t>
      </w:r>
    </w:p>
    <w:p w14:paraId="1B9208FE" w14:textId="30E7BF22" w:rsidR="00E318D6" w:rsidRPr="00010B8B" w:rsidRDefault="00E318D6" w:rsidP="00E318D6">
      <w:pPr>
        <w:pStyle w:val="PKTpunkt"/>
      </w:pPr>
      <w:r>
        <w:t xml:space="preserve">5) </w:t>
      </w:r>
      <w:r w:rsidR="00AD6DEA">
        <w:tab/>
      </w:r>
      <w:r>
        <w:t xml:space="preserve">проводити спеціальні перевірки на вимогу замовника, </w:t>
      </w:r>
    </w:p>
    <w:p w14:paraId="4C6FC9F2" w14:textId="459C3E43" w:rsidR="00E318D6" w:rsidRPr="00010B8B" w:rsidRDefault="00E318D6" w:rsidP="00E318D6">
      <w:pPr>
        <w:pStyle w:val="PKTpunkt"/>
      </w:pPr>
      <w:r>
        <w:t xml:space="preserve">6) </w:t>
      </w:r>
      <w:r w:rsidR="00AD6DEA">
        <w:tab/>
      </w:r>
      <w:r>
        <w:t>інформувати Замовника про будь-які виявлені професійні ризики, а також про будь-які пропозиції, спрямовані на усунення таких небезпек,</w:t>
      </w:r>
    </w:p>
    <w:p w14:paraId="77A3224D" w14:textId="160D720D" w:rsidR="00E318D6" w:rsidRPr="00010B8B" w:rsidRDefault="00E318D6" w:rsidP="00E318D6">
      <w:pPr>
        <w:pStyle w:val="PKTpunkt"/>
      </w:pPr>
      <w:r>
        <w:t xml:space="preserve">7) </w:t>
      </w:r>
      <w:r w:rsidR="00AD6DEA">
        <w:tab/>
      </w:r>
      <w:r>
        <w:t xml:space="preserve">підготовка та презентація Замовнику: </w:t>
      </w:r>
    </w:p>
    <w:p w14:paraId="4867D890" w14:textId="1CDD0ACE" w:rsidR="00E318D6" w:rsidRPr="007539EA" w:rsidRDefault="00E318D6" w:rsidP="00E318D6">
      <w:pPr>
        <w:pStyle w:val="PKTpunkt"/>
      </w:pPr>
      <w:r>
        <w:t xml:space="preserve">a) </w:t>
      </w:r>
      <w:r w:rsidR="00AD6DEA">
        <w:tab/>
      </w:r>
      <w:r>
        <w:t>інформації про нещасні випадки, що сталися,</w:t>
      </w:r>
    </w:p>
    <w:p w14:paraId="52EBD810" w14:textId="66F44F82" w:rsidR="00E318D6" w:rsidRDefault="00E318D6" w:rsidP="00E318D6">
      <w:pPr>
        <w:pStyle w:val="PKTpunkt"/>
      </w:pPr>
      <w:r>
        <w:t xml:space="preserve">b) </w:t>
      </w:r>
      <w:r w:rsidR="00AD6DEA">
        <w:tab/>
      </w:r>
      <w:r>
        <w:t>щоденні звіти про перевірку умов праці, відповідно до шаблону звіту, встановленого Офісом з ТБ та протипожежної безпеки замовника,</w:t>
      </w:r>
    </w:p>
    <w:p w14:paraId="3CCCD027" w14:textId="459B23CA" w:rsidR="00E318D6" w:rsidRPr="00010B8B" w:rsidRDefault="00E318D6" w:rsidP="00E318D6">
      <w:pPr>
        <w:pStyle w:val="PKTpunkt"/>
      </w:pPr>
      <w:r>
        <w:t xml:space="preserve">с) </w:t>
      </w:r>
      <w:r w:rsidR="00AD6DEA">
        <w:tab/>
      </w:r>
      <w:r>
        <w:t>аналіз стану техніки безпеки та охорони праці, включаючи пропозиції щодо технічних та організаційних заходів для запобігання ризиків для життя і здоров'я працівників та покращення умов праці на території реалізації інвестиції,</w:t>
      </w:r>
    </w:p>
    <w:p w14:paraId="185A490E" w14:textId="6BB8D5FF" w:rsidR="00E318D6" w:rsidRPr="00010B8B" w:rsidRDefault="00E318D6" w:rsidP="00E318D6">
      <w:pPr>
        <w:pStyle w:val="PKTpunkt"/>
      </w:pPr>
      <w:r>
        <w:t xml:space="preserve">d) </w:t>
      </w:r>
      <w:r w:rsidR="00AD6DEA">
        <w:tab/>
      </w:r>
      <w:r>
        <w:t>додаткові звіти щодо стану ТБ на вимогу клієнта,</w:t>
      </w:r>
    </w:p>
    <w:p w14:paraId="5AB14C3E" w14:textId="2CF67AC5" w:rsidR="00E318D6" w:rsidRPr="00010B8B" w:rsidRDefault="00E318D6" w:rsidP="00E318D6">
      <w:pPr>
        <w:pStyle w:val="PKTpunkt"/>
      </w:pPr>
      <w:r>
        <w:t xml:space="preserve">8) </w:t>
      </w:r>
      <w:r w:rsidR="00AD6DEA">
        <w:tab/>
      </w:r>
      <w:r>
        <w:t>участь в оцінці припущень / оновлень документації щодо реалізації інвестиції з точки зору ТБ (наприклад, Виконавчий проект, BIOZ, IBWR, технологічні інструкції), а також надання пропозицій щодо включення вимог щодо техніки безпеки та охорони праці в ці припущення та документацію,</w:t>
      </w:r>
    </w:p>
    <w:p w14:paraId="5EC6BC2A" w14:textId="06D09709" w:rsidR="00E318D6" w:rsidRPr="00010B8B" w:rsidRDefault="00E318D6" w:rsidP="00E318D6">
      <w:pPr>
        <w:pStyle w:val="PKTpunkt"/>
      </w:pPr>
      <w:r>
        <w:lastRenderedPageBreak/>
        <w:t xml:space="preserve">9) </w:t>
      </w:r>
      <w:r w:rsidR="00AD6DEA">
        <w:tab/>
      </w:r>
      <w:r>
        <w:t xml:space="preserve">участь у випробуваннях та введенні в експлуатацію, технічному прийманні обладнання, об’єктів та газопроводів, </w:t>
      </w:r>
    </w:p>
    <w:p w14:paraId="092D88B4" w14:textId="0B3EE1FB" w:rsidR="00E318D6" w:rsidRPr="00010B8B" w:rsidRDefault="00E318D6" w:rsidP="00E318D6">
      <w:pPr>
        <w:pStyle w:val="PKTpunkt"/>
      </w:pPr>
      <w:r>
        <w:t xml:space="preserve">10) </w:t>
      </w:r>
      <w:r w:rsidR="00AD6DEA">
        <w:tab/>
      </w:r>
      <w:r>
        <w:t>участь у робочих радах/координаційних нарадах/нарадах з охорони праці,</w:t>
      </w:r>
    </w:p>
    <w:p w14:paraId="32E21504" w14:textId="06700605" w:rsidR="00E318D6" w:rsidRPr="00010B8B" w:rsidRDefault="00E318D6" w:rsidP="00E318D6">
      <w:pPr>
        <w:pStyle w:val="PKTpunkt"/>
      </w:pPr>
      <w:r>
        <w:t xml:space="preserve">11) </w:t>
      </w:r>
      <w:r w:rsidR="00AD6DEA">
        <w:tab/>
      </w:r>
      <w:r>
        <w:t>внесення пропозицій підряднику щодо вимог з техніки безпеки та охорони праці для процесів, що використовуються та впроваджуються під час реалізації інвестиції,</w:t>
      </w:r>
    </w:p>
    <w:p w14:paraId="264D1A10" w14:textId="12A3AB43" w:rsidR="00E318D6" w:rsidRDefault="00E318D6" w:rsidP="00E318D6">
      <w:pPr>
        <w:pStyle w:val="PKTpunkt"/>
      </w:pPr>
      <w:r>
        <w:t xml:space="preserve">12) </w:t>
      </w:r>
      <w:r w:rsidR="00AD6DEA">
        <w:tab/>
      </w:r>
      <w:r>
        <w:t>ініціювати та розвивати на території реалізації інвестиції різні форми популяризації питань техніки безпеки та охорони праці, а також ергономіки.</w:t>
      </w:r>
    </w:p>
    <w:p w14:paraId="4BDF65ED" w14:textId="385300F7" w:rsidR="00E318D6" w:rsidRDefault="00E318D6" w:rsidP="00E318D6">
      <w:pPr>
        <w:pStyle w:val="USTustnpkodeksu"/>
      </w:pPr>
      <w:r>
        <w:t>5. Фахівець з нагляду за ТБ підрядника інвестиційного нагляду має право:</w:t>
      </w:r>
    </w:p>
    <w:p w14:paraId="194A4ED9" w14:textId="2BEDDAB8" w:rsidR="00E318D6" w:rsidRDefault="00E318D6" w:rsidP="00E318D6">
      <w:pPr>
        <w:pStyle w:val="PKTpunkt"/>
      </w:pPr>
      <w:r>
        <w:t xml:space="preserve">1) </w:t>
      </w:r>
      <w:r w:rsidR="00AD6DEA">
        <w:tab/>
      </w:r>
      <w:r>
        <w:t>перевіряти стан охорони праці та техніки безпеки, а також дотримання норм і правил у цій сфері на території реалізації інвестиції,</w:t>
      </w:r>
    </w:p>
    <w:p w14:paraId="52BF9CEB" w14:textId="12661DFF" w:rsidR="00E318D6" w:rsidRDefault="00E318D6" w:rsidP="00E318D6">
      <w:pPr>
        <w:pStyle w:val="PKTpunkt"/>
      </w:pPr>
      <w:r>
        <w:t xml:space="preserve">2) </w:t>
      </w:r>
      <w:r w:rsidR="00AD6DEA">
        <w:tab/>
      </w:r>
      <w:r>
        <w:t>надання рекомендацій особам, що керують працівниками, щодо усунення виявлених небезпек нещасних випадків та професійної шкоди, а також недоліків у сфері техніки безпеки та охорони праці на території реалізації інвестиції,</w:t>
      </w:r>
    </w:p>
    <w:p w14:paraId="1BF3C528" w14:textId="76400E00" w:rsidR="00E318D6" w:rsidRDefault="00E318D6" w:rsidP="00E318D6">
      <w:pPr>
        <w:pStyle w:val="PKTpunkt"/>
      </w:pPr>
      <w:r>
        <w:t xml:space="preserve">3) </w:t>
      </w:r>
      <w:r w:rsidR="00AD6DEA">
        <w:tab/>
      </w:r>
      <w:r>
        <w:t>негайно зупинити роботу машин чи інших технічних засобів у разі виникнення безпосередньої загрози життю або здоров'ю працівника чи інших осіб,</w:t>
      </w:r>
    </w:p>
    <w:p w14:paraId="71DF4494" w14:textId="5EEC9338" w:rsidR="00E318D6" w:rsidRDefault="00E318D6" w:rsidP="00E318D6">
      <w:pPr>
        <w:pStyle w:val="PKTpunkt"/>
      </w:pPr>
      <w:r>
        <w:t xml:space="preserve">4) </w:t>
      </w:r>
      <w:r w:rsidR="00AD6DEA">
        <w:tab/>
      </w:r>
      <w:r>
        <w:t>негайно відсторонити від роботи працівника, залученого до забороненої роботи,</w:t>
      </w:r>
    </w:p>
    <w:p w14:paraId="1D56D2AF" w14:textId="34D8A509" w:rsidR="00E318D6" w:rsidRDefault="00E318D6" w:rsidP="00E318D6">
      <w:pPr>
        <w:pStyle w:val="PKTpunkt"/>
      </w:pPr>
      <w:r>
        <w:t xml:space="preserve">5) </w:t>
      </w:r>
      <w:r w:rsidR="00AD6DEA">
        <w:tab/>
      </w:r>
      <w:r>
        <w:t>негайно відсторонити від роботи працівника, який своєю поведінкою або способом виконання роботи створює</w:t>
      </w:r>
      <w:r>
        <w:rPr>
          <w:b/>
        </w:rPr>
        <w:t xml:space="preserve"> </w:t>
      </w:r>
      <w:r>
        <w:t>безпосередню загрозу власному життю чи здоров'ю або життю чи здоров'ю інших осіб,</w:t>
      </w:r>
    </w:p>
    <w:p w14:paraId="48C2004A" w14:textId="72998D2F" w:rsidR="00276759" w:rsidRPr="00C55AEE" w:rsidRDefault="00E318D6" w:rsidP="00C55AEE">
      <w:pPr>
        <w:pStyle w:val="PKTpunkt"/>
      </w:pPr>
      <w:r>
        <w:t xml:space="preserve">6) </w:t>
      </w:r>
      <w:r w:rsidR="00AD6DEA">
        <w:tab/>
      </w:r>
      <w:r>
        <w:t>негайно припинити роботи на території реалізації інвестиції, якщо виникає пряма загроза життю або здоров'ю працівників або інших осіб.</w:t>
      </w:r>
      <w:bookmarkEnd w:id="0"/>
    </w:p>
    <w:sectPr w:rsidR="00276759" w:rsidRPr="00C55AEE" w:rsidSect="00010B8B">
      <w:pgSz w:w="11906" w:h="16838"/>
      <w:pgMar w:top="567" w:right="1417" w:bottom="141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6FDD1" w14:textId="77777777" w:rsidR="00290C04" w:rsidRDefault="00290C04" w:rsidP="006A32DA">
      <w:pPr>
        <w:spacing w:after="0" w:line="240" w:lineRule="auto"/>
      </w:pPr>
      <w:r>
        <w:separator/>
      </w:r>
    </w:p>
  </w:endnote>
  <w:endnote w:type="continuationSeparator" w:id="0">
    <w:p w14:paraId="6B29BB87" w14:textId="77777777" w:rsidR="00290C04" w:rsidRDefault="00290C04" w:rsidP="006A3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altName w:val="Calibri"/>
    <w:panose1 w:val="020B0502020202020204"/>
    <w:charset w:val="EE"/>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495FD" w14:textId="77777777" w:rsidR="00290C04" w:rsidRDefault="00290C04" w:rsidP="006A32DA">
      <w:pPr>
        <w:spacing w:after="0" w:line="240" w:lineRule="auto"/>
      </w:pPr>
      <w:r>
        <w:separator/>
      </w:r>
    </w:p>
  </w:footnote>
  <w:footnote w:type="continuationSeparator" w:id="0">
    <w:p w14:paraId="5DAF8D90" w14:textId="77777777" w:rsidR="00290C04" w:rsidRDefault="00290C04" w:rsidP="006A32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672F5"/>
    <w:multiLevelType w:val="hybridMultilevel"/>
    <w:tmpl w:val="B3AED108"/>
    <w:lvl w:ilvl="0" w:tplc="02C6DF3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654F96"/>
    <w:multiLevelType w:val="hybridMultilevel"/>
    <w:tmpl w:val="2EFA943C"/>
    <w:lvl w:ilvl="0" w:tplc="1A128314">
      <w:start w:val="1"/>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 w15:restartNumberingAfterBreak="0">
    <w:nsid w:val="23CD371E"/>
    <w:multiLevelType w:val="hybridMultilevel"/>
    <w:tmpl w:val="A3FEFA2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4B977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756218"/>
    <w:multiLevelType w:val="hybridMultilevel"/>
    <w:tmpl w:val="9830FA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2B7156B6"/>
    <w:multiLevelType w:val="hybridMultilevel"/>
    <w:tmpl w:val="B5145D92"/>
    <w:lvl w:ilvl="0" w:tplc="04150001">
      <w:start w:val="1"/>
      <w:numFmt w:val="bullet"/>
      <w:lvlText w:val=""/>
      <w:lvlJc w:val="left"/>
      <w:pPr>
        <w:ind w:left="3479" w:hanging="360"/>
      </w:pPr>
      <w:rPr>
        <w:rFonts w:ascii="Symbol" w:hAnsi="Symbol" w:hint="default"/>
      </w:rPr>
    </w:lvl>
    <w:lvl w:ilvl="1" w:tplc="04150003" w:tentative="1">
      <w:start w:val="1"/>
      <w:numFmt w:val="bullet"/>
      <w:lvlText w:val="o"/>
      <w:lvlJc w:val="left"/>
      <w:pPr>
        <w:ind w:left="4199" w:hanging="360"/>
      </w:pPr>
      <w:rPr>
        <w:rFonts w:ascii="Courier New" w:hAnsi="Courier New" w:cs="Courier New" w:hint="default"/>
      </w:rPr>
    </w:lvl>
    <w:lvl w:ilvl="2" w:tplc="04150005" w:tentative="1">
      <w:start w:val="1"/>
      <w:numFmt w:val="bullet"/>
      <w:lvlText w:val=""/>
      <w:lvlJc w:val="left"/>
      <w:pPr>
        <w:ind w:left="4919" w:hanging="360"/>
      </w:pPr>
      <w:rPr>
        <w:rFonts w:ascii="Wingdings" w:hAnsi="Wingdings" w:hint="default"/>
      </w:rPr>
    </w:lvl>
    <w:lvl w:ilvl="3" w:tplc="04150001" w:tentative="1">
      <w:start w:val="1"/>
      <w:numFmt w:val="bullet"/>
      <w:lvlText w:val=""/>
      <w:lvlJc w:val="left"/>
      <w:pPr>
        <w:ind w:left="5639" w:hanging="360"/>
      </w:pPr>
      <w:rPr>
        <w:rFonts w:ascii="Symbol" w:hAnsi="Symbol" w:hint="default"/>
      </w:rPr>
    </w:lvl>
    <w:lvl w:ilvl="4" w:tplc="04150003" w:tentative="1">
      <w:start w:val="1"/>
      <w:numFmt w:val="bullet"/>
      <w:lvlText w:val="o"/>
      <w:lvlJc w:val="left"/>
      <w:pPr>
        <w:ind w:left="6359" w:hanging="360"/>
      </w:pPr>
      <w:rPr>
        <w:rFonts w:ascii="Courier New" w:hAnsi="Courier New" w:cs="Courier New" w:hint="default"/>
      </w:rPr>
    </w:lvl>
    <w:lvl w:ilvl="5" w:tplc="04150005" w:tentative="1">
      <w:start w:val="1"/>
      <w:numFmt w:val="bullet"/>
      <w:lvlText w:val=""/>
      <w:lvlJc w:val="left"/>
      <w:pPr>
        <w:ind w:left="7079" w:hanging="360"/>
      </w:pPr>
      <w:rPr>
        <w:rFonts w:ascii="Wingdings" w:hAnsi="Wingdings" w:hint="default"/>
      </w:rPr>
    </w:lvl>
    <w:lvl w:ilvl="6" w:tplc="04150001" w:tentative="1">
      <w:start w:val="1"/>
      <w:numFmt w:val="bullet"/>
      <w:lvlText w:val=""/>
      <w:lvlJc w:val="left"/>
      <w:pPr>
        <w:ind w:left="7799" w:hanging="360"/>
      </w:pPr>
      <w:rPr>
        <w:rFonts w:ascii="Symbol" w:hAnsi="Symbol" w:hint="default"/>
      </w:rPr>
    </w:lvl>
    <w:lvl w:ilvl="7" w:tplc="04150003" w:tentative="1">
      <w:start w:val="1"/>
      <w:numFmt w:val="bullet"/>
      <w:lvlText w:val="o"/>
      <w:lvlJc w:val="left"/>
      <w:pPr>
        <w:ind w:left="8519" w:hanging="360"/>
      </w:pPr>
      <w:rPr>
        <w:rFonts w:ascii="Courier New" w:hAnsi="Courier New" w:cs="Courier New" w:hint="default"/>
      </w:rPr>
    </w:lvl>
    <w:lvl w:ilvl="8" w:tplc="04150005" w:tentative="1">
      <w:start w:val="1"/>
      <w:numFmt w:val="bullet"/>
      <w:lvlText w:val=""/>
      <w:lvlJc w:val="left"/>
      <w:pPr>
        <w:ind w:left="9239" w:hanging="360"/>
      </w:pPr>
      <w:rPr>
        <w:rFonts w:ascii="Wingdings" w:hAnsi="Wingdings" w:hint="default"/>
      </w:rPr>
    </w:lvl>
  </w:abstractNum>
  <w:abstractNum w:abstractNumId="6" w15:restartNumberingAfterBreak="0">
    <w:nsid w:val="303639A0"/>
    <w:multiLevelType w:val="hybridMultilevel"/>
    <w:tmpl w:val="F3244F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35F66D7B"/>
    <w:multiLevelType w:val="hybridMultilevel"/>
    <w:tmpl w:val="B6A68ACC"/>
    <w:lvl w:ilvl="0" w:tplc="04150001">
      <w:start w:val="1"/>
      <w:numFmt w:val="bullet"/>
      <w:lvlText w:val=""/>
      <w:lvlJc w:val="left"/>
      <w:pPr>
        <w:ind w:left="2494" w:hanging="360"/>
      </w:pPr>
      <w:rPr>
        <w:rFonts w:ascii="Symbol" w:hAnsi="Symbol" w:hint="default"/>
      </w:rPr>
    </w:lvl>
    <w:lvl w:ilvl="1" w:tplc="04150003" w:tentative="1">
      <w:start w:val="1"/>
      <w:numFmt w:val="bullet"/>
      <w:lvlText w:val="o"/>
      <w:lvlJc w:val="left"/>
      <w:pPr>
        <w:ind w:left="3214" w:hanging="360"/>
      </w:pPr>
      <w:rPr>
        <w:rFonts w:ascii="Courier New" w:hAnsi="Courier New" w:cs="Courier New" w:hint="default"/>
      </w:rPr>
    </w:lvl>
    <w:lvl w:ilvl="2" w:tplc="04150005" w:tentative="1">
      <w:start w:val="1"/>
      <w:numFmt w:val="bullet"/>
      <w:lvlText w:val=""/>
      <w:lvlJc w:val="left"/>
      <w:pPr>
        <w:ind w:left="3934" w:hanging="360"/>
      </w:pPr>
      <w:rPr>
        <w:rFonts w:ascii="Wingdings" w:hAnsi="Wingdings" w:hint="default"/>
      </w:rPr>
    </w:lvl>
    <w:lvl w:ilvl="3" w:tplc="04150001" w:tentative="1">
      <w:start w:val="1"/>
      <w:numFmt w:val="bullet"/>
      <w:lvlText w:val=""/>
      <w:lvlJc w:val="left"/>
      <w:pPr>
        <w:ind w:left="4654" w:hanging="360"/>
      </w:pPr>
      <w:rPr>
        <w:rFonts w:ascii="Symbol" w:hAnsi="Symbol" w:hint="default"/>
      </w:rPr>
    </w:lvl>
    <w:lvl w:ilvl="4" w:tplc="04150003" w:tentative="1">
      <w:start w:val="1"/>
      <w:numFmt w:val="bullet"/>
      <w:lvlText w:val="o"/>
      <w:lvlJc w:val="left"/>
      <w:pPr>
        <w:ind w:left="5374" w:hanging="360"/>
      </w:pPr>
      <w:rPr>
        <w:rFonts w:ascii="Courier New" w:hAnsi="Courier New" w:cs="Courier New" w:hint="default"/>
      </w:rPr>
    </w:lvl>
    <w:lvl w:ilvl="5" w:tplc="04150005" w:tentative="1">
      <w:start w:val="1"/>
      <w:numFmt w:val="bullet"/>
      <w:lvlText w:val=""/>
      <w:lvlJc w:val="left"/>
      <w:pPr>
        <w:ind w:left="6094" w:hanging="360"/>
      </w:pPr>
      <w:rPr>
        <w:rFonts w:ascii="Wingdings" w:hAnsi="Wingdings" w:hint="default"/>
      </w:rPr>
    </w:lvl>
    <w:lvl w:ilvl="6" w:tplc="04150001" w:tentative="1">
      <w:start w:val="1"/>
      <w:numFmt w:val="bullet"/>
      <w:lvlText w:val=""/>
      <w:lvlJc w:val="left"/>
      <w:pPr>
        <w:ind w:left="6814" w:hanging="360"/>
      </w:pPr>
      <w:rPr>
        <w:rFonts w:ascii="Symbol" w:hAnsi="Symbol" w:hint="default"/>
      </w:rPr>
    </w:lvl>
    <w:lvl w:ilvl="7" w:tplc="04150003" w:tentative="1">
      <w:start w:val="1"/>
      <w:numFmt w:val="bullet"/>
      <w:lvlText w:val="o"/>
      <w:lvlJc w:val="left"/>
      <w:pPr>
        <w:ind w:left="7534" w:hanging="360"/>
      </w:pPr>
      <w:rPr>
        <w:rFonts w:ascii="Courier New" w:hAnsi="Courier New" w:cs="Courier New" w:hint="default"/>
      </w:rPr>
    </w:lvl>
    <w:lvl w:ilvl="8" w:tplc="04150005" w:tentative="1">
      <w:start w:val="1"/>
      <w:numFmt w:val="bullet"/>
      <w:lvlText w:val=""/>
      <w:lvlJc w:val="left"/>
      <w:pPr>
        <w:ind w:left="8254" w:hanging="360"/>
      </w:pPr>
      <w:rPr>
        <w:rFonts w:ascii="Wingdings" w:hAnsi="Wingdings" w:hint="default"/>
      </w:rPr>
    </w:lvl>
  </w:abstractNum>
  <w:abstractNum w:abstractNumId="8" w15:restartNumberingAfterBreak="0">
    <w:nsid w:val="37086366"/>
    <w:multiLevelType w:val="hybridMultilevel"/>
    <w:tmpl w:val="210E7812"/>
    <w:lvl w:ilvl="0" w:tplc="04150001">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3F31DA"/>
    <w:multiLevelType w:val="multilevel"/>
    <w:tmpl w:val="E58A70DE"/>
    <w:lvl w:ilvl="0">
      <w:start w:val="1"/>
      <w:numFmt w:val="decimal"/>
      <w:lvlText w:val="%1."/>
      <w:lvlJc w:val="left"/>
      <w:pPr>
        <w:ind w:left="1774" w:hanging="360"/>
      </w:pPr>
      <w:rPr>
        <w:rFonts w:hint="default"/>
      </w:rPr>
    </w:lvl>
    <w:lvl w:ilvl="1">
      <w:start w:val="1"/>
      <w:numFmt w:val="decimal"/>
      <w:isLgl/>
      <w:lvlText w:val="%1.%2"/>
      <w:lvlJc w:val="left"/>
      <w:pPr>
        <w:ind w:left="3214" w:hanging="720"/>
      </w:pPr>
      <w:rPr>
        <w:rFonts w:hint="default"/>
      </w:rPr>
    </w:lvl>
    <w:lvl w:ilvl="2">
      <w:start w:val="1"/>
      <w:numFmt w:val="decimal"/>
      <w:isLgl/>
      <w:lvlText w:val="%1.%2.%3"/>
      <w:lvlJc w:val="left"/>
      <w:pPr>
        <w:ind w:left="4294" w:hanging="720"/>
      </w:pPr>
      <w:rPr>
        <w:rFonts w:hint="default"/>
      </w:rPr>
    </w:lvl>
    <w:lvl w:ilvl="3">
      <w:start w:val="1"/>
      <w:numFmt w:val="decimal"/>
      <w:isLgl/>
      <w:lvlText w:val="%1.%2.%3.%4"/>
      <w:lvlJc w:val="left"/>
      <w:pPr>
        <w:ind w:left="5734" w:hanging="1080"/>
      </w:pPr>
      <w:rPr>
        <w:rFonts w:hint="default"/>
      </w:rPr>
    </w:lvl>
    <w:lvl w:ilvl="4">
      <w:start w:val="1"/>
      <w:numFmt w:val="decimal"/>
      <w:isLgl/>
      <w:lvlText w:val="%1.%2.%3.%4.%5"/>
      <w:lvlJc w:val="left"/>
      <w:pPr>
        <w:ind w:left="7174" w:hanging="1440"/>
      </w:pPr>
      <w:rPr>
        <w:rFonts w:hint="default"/>
      </w:rPr>
    </w:lvl>
    <w:lvl w:ilvl="5">
      <w:start w:val="1"/>
      <w:numFmt w:val="decimal"/>
      <w:isLgl/>
      <w:lvlText w:val="%1.%2.%3.%4.%5.%6"/>
      <w:lvlJc w:val="left"/>
      <w:pPr>
        <w:ind w:left="8254" w:hanging="1440"/>
      </w:pPr>
      <w:rPr>
        <w:rFonts w:hint="default"/>
      </w:rPr>
    </w:lvl>
    <w:lvl w:ilvl="6">
      <w:start w:val="1"/>
      <w:numFmt w:val="decimal"/>
      <w:isLgl/>
      <w:lvlText w:val="%1.%2.%3.%4.%5.%6.%7"/>
      <w:lvlJc w:val="left"/>
      <w:pPr>
        <w:ind w:left="9694" w:hanging="1800"/>
      </w:pPr>
      <w:rPr>
        <w:rFonts w:hint="default"/>
      </w:rPr>
    </w:lvl>
    <w:lvl w:ilvl="7">
      <w:start w:val="1"/>
      <w:numFmt w:val="decimal"/>
      <w:isLgl/>
      <w:lvlText w:val="%1.%2.%3.%4.%5.%6.%7.%8"/>
      <w:lvlJc w:val="left"/>
      <w:pPr>
        <w:ind w:left="11134" w:hanging="2160"/>
      </w:pPr>
      <w:rPr>
        <w:rFonts w:hint="default"/>
      </w:rPr>
    </w:lvl>
    <w:lvl w:ilvl="8">
      <w:start w:val="1"/>
      <w:numFmt w:val="decimal"/>
      <w:isLgl/>
      <w:lvlText w:val="%1.%2.%3.%4.%5.%6.%7.%8.%9"/>
      <w:lvlJc w:val="left"/>
      <w:pPr>
        <w:ind w:left="12214" w:hanging="2160"/>
      </w:pPr>
      <w:rPr>
        <w:rFonts w:hint="default"/>
      </w:rPr>
    </w:lvl>
  </w:abstractNum>
  <w:abstractNum w:abstractNumId="10" w15:restartNumberingAfterBreak="0">
    <w:nsid w:val="40717429"/>
    <w:multiLevelType w:val="hybridMultilevel"/>
    <w:tmpl w:val="501A6F38"/>
    <w:lvl w:ilvl="0" w:tplc="04150001">
      <w:start w:val="1"/>
      <w:numFmt w:val="bullet"/>
      <w:lvlText w:val=""/>
      <w:lvlJc w:val="left"/>
      <w:pPr>
        <w:ind w:left="3130" w:hanging="360"/>
      </w:pPr>
      <w:rPr>
        <w:rFonts w:ascii="Symbol" w:hAnsi="Symbol" w:hint="default"/>
      </w:rPr>
    </w:lvl>
    <w:lvl w:ilvl="1" w:tplc="04150003" w:tentative="1">
      <w:start w:val="1"/>
      <w:numFmt w:val="bullet"/>
      <w:lvlText w:val="o"/>
      <w:lvlJc w:val="left"/>
      <w:pPr>
        <w:ind w:left="3850" w:hanging="360"/>
      </w:pPr>
      <w:rPr>
        <w:rFonts w:ascii="Courier New" w:hAnsi="Courier New" w:cs="Courier New" w:hint="default"/>
      </w:r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11" w15:restartNumberingAfterBreak="0">
    <w:nsid w:val="469327A8"/>
    <w:multiLevelType w:val="hybridMultilevel"/>
    <w:tmpl w:val="023E5A8C"/>
    <w:lvl w:ilvl="0" w:tplc="E262688E">
      <w:start w:val="1"/>
      <w:numFmt w:val="decimal"/>
      <w:lvlText w:val="%1."/>
      <w:lvlJc w:val="left"/>
      <w:pPr>
        <w:ind w:left="1414" w:hanging="705"/>
      </w:pPr>
      <w:rPr>
        <w:rFonts w:hint="default"/>
        <w:b/>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61955CBC"/>
    <w:multiLevelType w:val="hybridMultilevel"/>
    <w:tmpl w:val="F014BD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663219E"/>
    <w:multiLevelType w:val="multilevel"/>
    <w:tmpl w:val="EDA0C024"/>
    <w:lvl w:ilvl="0">
      <w:start w:val="1"/>
      <w:numFmt w:val="decimal"/>
      <w:lvlText w:val="%1."/>
      <w:lvlJc w:val="left"/>
      <w:pPr>
        <w:ind w:left="3574" w:hanging="360"/>
      </w:pPr>
      <w:rPr>
        <w:rFonts w:hint="default"/>
      </w:rPr>
    </w:lvl>
    <w:lvl w:ilvl="1">
      <w:start w:val="2"/>
      <w:numFmt w:val="decimal"/>
      <w:isLgl/>
      <w:lvlText w:val="%1.%2"/>
      <w:lvlJc w:val="left"/>
      <w:pPr>
        <w:ind w:left="2564" w:hanging="720"/>
      </w:pPr>
      <w:rPr>
        <w:rFonts w:hint="default"/>
      </w:rPr>
    </w:lvl>
    <w:lvl w:ilvl="2">
      <w:start w:val="1"/>
      <w:numFmt w:val="decimal"/>
      <w:isLgl/>
      <w:lvlText w:val="%1.%2.%3"/>
      <w:lvlJc w:val="left"/>
      <w:pPr>
        <w:ind w:left="3934" w:hanging="720"/>
      </w:pPr>
      <w:rPr>
        <w:rFonts w:hint="default"/>
      </w:rPr>
    </w:lvl>
    <w:lvl w:ilvl="3">
      <w:start w:val="1"/>
      <w:numFmt w:val="decimal"/>
      <w:isLgl/>
      <w:lvlText w:val="%1.%2.%3.%4"/>
      <w:lvlJc w:val="left"/>
      <w:pPr>
        <w:ind w:left="4294" w:hanging="1080"/>
      </w:pPr>
      <w:rPr>
        <w:rFonts w:hint="default"/>
      </w:rPr>
    </w:lvl>
    <w:lvl w:ilvl="4">
      <w:start w:val="1"/>
      <w:numFmt w:val="decimal"/>
      <w:isLgl/>
      <w:lvlText w:val="%1.%2.%3.%4.%5"/>
      <w:lvlJc w:val="left"/>
      <w:pPr>
        <w:ind w:left="4654" w:hanging="1440"/>
      </w:pPr>
      <w:rPr>
        <w:rFonts w:hint="default"/>
      </w:rPr>
    </w:lvl>
    <w:lvl w:ilvl="5">
      <w:start w:val="1"/>
      <w:numFmt w:val="decimal"/>
      <w:isLgl/>
      <w:lvlText w:val="%1.%2.%3.%4.%5.%6"/>
      <w:lvlJc w:val="left"/>
      <w:pPr>
        <w:ind w:left="4654" w:hanging="1440"/>
      </w:pPr>
      <w:rPr>
        <w:rFonts w:hint="default"/>
      </w:rPr>
    </w:lvl>
    <w:lvl w:ilvl="6">
      <w:start w:val="1"/>
      <w:numFmt w:val="decimal"/>
      <w:isLgl/>
      <w:lvlText w:val="%1.%2.%3.%4.%5.%6.%7"/>
      <w:lvlJc w:val="left"/>
      <w:pPr>
        <w:ind w:left="5014" w:hanging="1800"/>
      </w:pPr>
      <w:rPr>
        <w:rFonts w:hint="default"/>
      </w:rPr>
    </w:lvl>
    <w:lvl w:ilvl="7">
      <w:start w:val="1"/>
      <w:numFmt w:val="decimal"/>
      <w:isLgl/>
      <w:lvlText w:val="%1.%2.%3.%4.%5.%6.%7.%8"/>
      <w:lvlJc w:val="left"/>
      <w:pPr>
        <w:ind w:left="5374" w:hanging="2160"/>
      </w:pPr>
      <w:rPr>
        <w:rFonts w:hint="default"/>
      </w:rPr>
    </w:lvl>
    <w:lvl w:ilvl="8">
      <w:start w:val="1"/>
      <w:numFmt w:val="decimal"/>
      <w:isLgl/>
      <w:lvlText w:val="%1.%2.%3.%4.%5.%6.%7.%8.%9"/>
      <w:lvlJc w:val="left"/>
      <w:pPr>
        <w:ind w:left="5374" w:hanging="2160"/>
      </w:pPr>
      <w:rPr>
        <w:rFonts w:hint="default"/>
      </w:rPr>
    </w:lvl>
  </w:abstractNum>
  <w:abstractNum w:abstractNumId="14" w15:restartNumberingAfterBreak="0">
    <w:nsid w:val="69B460B3"/>
    <w:multiLevelType w:val="hybridMultilevel"/>
    <w:tmpl w:val="07EE79CA"/>
    <w:lvl w:ilvl="0" w:tplc="04150001">
      <w:start w:val="1"/>
      <w:numFmt w:val="bullet"/>
      <w:lvlText w:val=""/>
      <w:lvlJc w:val="left"/>
      <w:pPr>
        <w:ind w:left="216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67968505">
    <w:abstractNumId w:val="0"/>
  </w:num>
  <w:num w:numId="2" w16cid:durableId="835344054">
    <w:abstractNumId w:val="6"/>
  </w:num>
  <w:num w:numId="3" w16cid:durableId="1449739554">
    <w:abstractNumId w:val="4"/>
  </w:num>
  <w:num w:numId="4" w16cid:durableId="1669287916">
    <w:abstractNumId w:val="14"/>
  </w:num>
  <w:num w:numId="5" w16cid:durableId="961183157">
    <w:abstractNumId w:val="2"/>
  </w:num>
  <w:num w:numId="6" w16cid:durableId="1796607088">
    <w:abstractNumId w:val="8"/>
  </w:num>
  <w:num w:numId="7" w16cid:durableId="1662853939">
    <w:abstractNumId w:val="11"/>
  </w:num>
  <w:num w:numId="8" w16cid:durableId="970134828">
    <w:abstractNumId w:val="1"/>
  </w:num>
  <w:num w:numId="9" w16cid:durableId="12459135">
    <w:abstractNumId w:val="9"/>
  </w:num>
  <w:num w:numId="10" w16cid:durableId="613825154">
    <w:abstractNumId w:val="7"/>
  </w:num>
  <w:num w:numId="11" w16cid:durableId="427654875">
    <w:abstractNumId w:val="13"/>
  </w:num>
  <w:num w:numId="12" w16cid:durableId="2100640309">
    <w:abstractNumId w:val="5"/>
  </w:num>
  <w:num w:numId="13" w16cid:durableId="1811510865">
    <w:abstractNumId w:val="3"/>
  </w:num>
  <w:num w:numId="14" w16cid:durableId="977957072">
    <w:abstractNumId w:val="10"/>
  </w:num>
  <w:num w:numId="15" w16cid:durableId="581523885">
    <w:abstractNumId w:val="12"/>
  </w:num>
  <w:num w:numId="16" w16cid:durableId="15717735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9D6"/>
    <w:rsid w:val="00010B8B"/>
    <w:rsid w:val="00032A81"/>
    <w:rsid w:val="00062A4F"/>
    <w:rsid w:val="00086615"/>
    <w:rsid w:val="000A1E90"/>
    <w:rsid w:val="000A75FF"/>
    <w:rsid w:val="000B62A7"/>
    <w:rsid w:val="00107DEA"/>
    <w:rsid w:val="0013054A"/>
    <w:rsid w:val="0014783E"/>
    <w:rsid w:val="001818C8"/>
    <w:rsid w:val="001C29D5"/>
    <w:rsid w:val="001C41B1"/>
    <w:rsid w:val="002070CC"/>
    <w:rsid w:val="00276759"/>
    <w:rsid w:val="00290C04"/>
    <w:rsid w:val="00341FB9"/>
    <w:rsid w:val="0035051B"/>
    <w:rsid w:val="003E56BB"/>
    <w:rsid w:val="004869D6"/>
    <w:rsid w:val="004C32A9"/>
    <w:rsid w:val="004D0EBD"/>
    <w:rsid w:val="00504481"/>
    <w:rsid w:val="00532906"/>
    <w:rsid w:val="005A56CA"/>
    <w:rsid w:val="005B5C66"/>
    <w:rsid w:val="00645889"/>
    <w:rsid w:val="006467D8"/>
    <w:rsid w:val="006A32DA"/>
    <w:rsid w:val="006B1D86"/>
    <w:rsid w:val="006F000D"/>
    <w:rsid w:val="007117DA"/>
    <w:rsid w:val="007539EA"/>
    <w:rsid w:val="007D5FFF"/>
    <w:rsid w:val="00802C0A"/>
    <w:rsid w:val="008B1AD4"/>
    <w:rsid w:val="008C3704"/>
    <w:rsid w:val="008F37C9"/>
    <w:rsid w:val="00930919"/>
    <w:rsid w:val="00933671"/>
    <w:rsid w:val="009670EC"/>
    <w:rsid w:val="00980ECB"/>
    <w:rsid w:val="00993111"/>
    <w:rsid w:val="009E5808"/>
    <w:rsid w:val="00A12999"/>
    <w:rsid w:val="00AD6DEA"/>
    <w:rsid w:val="00B1562C"/>
    <w:rsid w:val="00B46EDE"/>
    <w:rsid w:val="00B82907"/>
    <w:rsid w:val="00BA1331"/>
    <w:rsid w:val="00BA255E"/>
    <w:rsid w:val="00C26112"/>
    <w:rsid w:val="00C55AEE"/>
    <w:rsid w:val="00C62A11"/>
    <w:rsid w:val="00C942BD"/>
    <w:rsid w:val="00CF54D3"/>
    <w:rsid w:val="00D062A2"/>
    <w:rsid w:val="00D5148E"/>
    <w:rsid w:val="00D83F12"/>
    <w:rsid w:val="00E135D8"/>
    <w:rsid w:val="00E318D6"/>
    <w:rsid w:val="00F03D30"/>
    <w:rsid w:val="00F353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CCCA90"/>
  <w15:chartTrackingRefBased/>
  <w15:docId w15:val="{3030F955-2AFD-45B0-AB20-75F79BEB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69D6"/>
  </w:style>
  <w:style w:type="paragraph" w:styleId="Nagwek1">
    <w:name w:val="heading 1"/>
    <w:basedOn w:val="Normalny"/>
    <w:next w:val="Normalny"/>
    <w:link w:val="Nagwek1Znak"/>
    <w:uiPriority w:val="9"/>
    <w:qFormat/>
    <w:rsid w:val="00980ECB"/>
    <w:pPr>
      <w:keepNext/>
      <w:keepLines/>
      <w:spacing w:before="480" w:after="0" w:line="276" w:lineRule="auto"/>
      <w:outlineLvl w:val="0"/>
    </w:pPr>
    <w:rPr>
      <w:rFonts w:ascii="Century Gothic" w:eastAsiaTheme="majorEastAsia" w:hAnsi="Century Gothic" w:cstheme="majorBidi"/>
      <w:b/>
      <w:bCs/>
      <w:sz w:val="20"/>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869D6"/>
    <w:pPr>
      <w:ind w:left="720"/>
      <w:contextualSpacing/>
    </w:pPr>
  </w:style>
  <w:style w:type="paragraph" w:styleId="Tekstprzypisukocowego">
    <w:name w:val="endnote text"/>
    <w:basedOn w:val="Normalny"/>
    <w:link w:val="TekstprzypisukocowegoZnak"/>
    <w:uiPriority w:val="99"/>
    <w:semiHidden/>
    <w:unhideWhenUsed/>
    <w:rsid w:val="000A1E9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1E90"/>
    <w:rPr>
      <w:sz w:val="20"/>
      <w:szCs w:val="20"/>
    </w:rPr>
  </w:style>
  <w:style w:type="character" w:styleId="Odwoanieprzypisukocowego">
    <w:name w:val="endnote reference"/>
    <w:basedOn w:val="Domylnaczcionkaakapitu"/>
    <w:uiPriority w:val="99"/>
    <w:semiHidden/>
    <w:unhideWhenUsed/>
    <w:rsid w:val="000A1E90"/>
    <w:rPr>
      <w:vertAlign w:val="superscript"/>
    </w:rPr>
  </w:style>
  <w:style w:type="paragraph" w:customStyle="1" w:styleId="USTustnpkodeksu">
    <w:name w:val="UST(§) – ust. (§ np. kodeksu)"/>
    <w:basedOn w:val="Normalny"/>
    <w:uiPriority w:val="12"/>
    <w:qFormat/>
    <w:rsid w:val="009E5808"/>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customStyle="1" w:styleId="PKTpunkt">
    <w:name w:val="PKT – punkt"/>
    <w:uiPriority w:val="13"/>
    <w:qFormat/>
    <w:rsid w:val="009E5808"/>
    <w:pPr>
      <w:spacing w:after="0" w:line="360" w:lineRule="auto"/>
      <w:ind w:left="510" w:hanging="510"/>
      <w:jc w:val="both"/>
    </w:pPr>
    <w:rPr>
      <w:rFonts w:ascii="Times" w:eastAsiaTheme="minorEastAsia" w:hAnsi="Times" w:cs="Arial"/>
      <w:bCs/>
      <w:sz w:val="24"/>
      <w:szCs w:val="20"/>
      <w:lang w:eastAsia="pl-PL"/>
    </w:rPr>
  </w:style>
  <w:style w:type="character" w:styleId="Wyrnieniedelikatne">
    <w:name w:val="Subtle Emphasis"/>
    <w:basedOn w:val="Domylnaczcionkaakapitu"/>
    <w:uiPriority w:val="19"/>
    <w:qFormat/>
    <w:rsid w:val="00341FB9"/>
    <w:rPr>
      <w:i/>
      <w:iCs/>
      <w:color w:val="404040" w:themeColor="text1" w:themeTint="BF"/>
    </w:rPr>
  </w:style>
  <w:style w:type="paragraph" w:styleId="Podtytu">
    <w:name w:val="Subtitle"/>
    <w:basedOn w:val="Normalny"/>
    <w:next w:val="Normalny"/>
    <w:link w:val="PodtytuZnak"/>
    <w:uiPriority w:val="11"/>
    <w:qFormat/>
    <w:rsid w:val="00341FB9"/>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41FB9"/>
    <w:rPr>
      <w:rFonts w:eastAsiaTheme="minorEastAsia"/>
      <w:color w:val="5A5A5A" w:themeColor="text1" w:themeTint="A5"/>
      <w:spacing w:val="15"/>
    </w:rPr>
  </w:style>
  <w:style w:type="character" w:customStyle="1" w:styleId="Nagwek1Znak">
    <w:name w:val="Nagłówek 1 Znak"/>
    <w:basedOn w:val="Domylnaczcionkaakapitu"/>
    <w:link w:val="Nagwek1"/>
    <w:uiPriority w:val="9"/>
    <w:rsid w:val="00980ECB"/>
    <w:rPr>
      <w:rFonts w:ascii="Century Gothic" w:eastAsiaTheme="majorEastAsia" w:hAnsi="Century Gothic" w:cstheme="majorBidi"/>
      <w:b/>
      <w:bCs/>
      <w:sz w:val="20"/>
      <w:szCs w:val="28"/>
    </w:rPr>
  </w:style>
  <w:style w:type="paragraph" w:customStyle="1" w:styleId="ARTartustawynprozporzdzenia">
    <w:name w:val="ART(§) – art. ustawy (§ np. rozporządzenia)"/>
    <w:uiPriority w:val="11"/>
    <w:qFormat/>
    <w:rsid w:val="00980ECB"/>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980ECB"/>
    <w:rPr>
      <w:b/>
    </w:rPr>
  </w:style>
  <w:style w:type="paragraph" w:styleId="Poprawka">
    <w:name w:val="Revision"/>
    <w:hidden/>
    <w:uiPriority w:val="99"/>
    <w:semiHidden/>
    <w:rsid w:val="00802C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493393">
      <w:bodyDiv w:val="1"/>
      <w:marLeft w:val="0"/>
      <w:marRight w:val="0"/>
      <w:marTop w:val="0"/>
      <w:marBottom w:val="0"/>
      <w:divBdr>
        <w:top w:val="none" w:sz="0" w:space="0" w:color="auto"/>
        <w:left w:val="none" w:sz="0" w:space="0" w:color="auto"/>
        <w:bottom w:val="none" w:sz="0" w:space="0" w:color="auto"/>
        <w:right w:val="none" w:sz="0" w:space="0" w:color="auto"/>
      </w:divBdr>
    </w:div>
    <w:div w:id="9631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9B75A6DFA203429AEDE4336ADBF6B3" ma:contentTypeVersion="6" ma:contentTypeDescription="Create a new document." ma:contentTypeScope="" ma:versionID="cdc517aebc8d4583764e90b12bf9cd52">
  <xsd:schema xmlns:xsd="http://www.w3.org/2001/XMLSchema" xmlns:xs="http://www.w3.org/2001/XMLSchema" xmlns:p="http://schemas.microsoft.com/office/2006/metadata/properties" xmlns:ns2="e8f7223f-38c4-46ba-a10d-06426886b950" xmlns:ns3="1a344d0b-38f7-4f41-a9a1-3f958c25242b" targetNamespace="http://schemas.microsoft.com/office/2006/metadata/properties" ma:root="true" ma:fieldsID="cebbc9873a389d6e4966da0721acee5e" ns2:_="" ns3:_="">
    <xsd:import namespace="e8f7223f-38c4-46ba-a10d-06426886b950"/>
    <xsd:import namespace="1a344d0b-38f7-4f41-a9a1-3f958c2524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f7223f-38c4-46ba-a10d-06426886b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344d0b-38f7-4f41-a9a1-3f958c2524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87AEDB-28A2-49CC-906E-D6898EE53C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f7223f-38c4-46ba-a10d-06426886b950"/>
    <ds:schemaRef ds:uri="1a344d0b-38f7-4f41-a9a1-3f958c252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E4F3A8-ACC9-4873-84D0-BD7EB39EFF47}">
  <ds:schemaRefs>
    <ds:schemaRef ds:uri="http://schemas.microsoft.com/sharepoint/v3/contenttype/forms"/>
  </ds:schemaRefs>
</ds:datastoreItem>
</file>

<file path=customXml/itemProps3.xml><?xml version="1.0" encoding="utf-8"?>
<ds:datastoreItem xmlns:ds="http://schemas.openxmlformats.org/officeDocument/2006/customXml" ds:itemID="{FB3E6EDC-EE34-4EC2-92E0-32C8126616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1260</Words>
  <Characters>7563</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Mońka Paweł</dc:creator>
  <cp:keywords/>
  <dc:description/>
  <cp:lastModifiedBy>Joanna Jedra</cp:lastModifiedBy>
  <cp:revision>5</cp:revision>
  <dcterms:created xsi:type="dcterms:W3CDTF">2023-05-19T10:50:00Z</dcterms:created>
  <dcterms:modified xsi:type="dcterms:W3CDTF">2023-06-27T08:57:00Z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0x010100979B75A6DFA203429AEDE4336ADBF6B3</vt:lpwstr>
  </property>
</Properties>
</file>